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我公司收悉贵院对外公开发布的医用床上三件套比选采购公告，经我方认真研判核对，我方产品能完全满足贵方技术参数和要求，故决定参加比选。我方报价汇总如下：</w:t>
      </w:r>
    </w:p>
    <w:tbl>
      <w:tblPr>
        <w:tblStyle w:val="4"/>
        <w:tblW w:w="97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560"/>
        <w:gridCol w:w="2354"/>
        <w:gridCol w:w="1984"/>
        <w:gridCol w:w="1497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品牌/规格型号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价（元）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4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733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以上报价包含人工、运输、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1E9C"/>
    <w:rsid w:val="004D3C2D"/>
    <w:rsid w:val="00500682"/>
    <w:rsid w:val="00507965"/>
    <w:rsid w:val="00546DC8"/>
    <w:rsid w:val="006E0A2A"/>
    <w:rsid w:val="0075203D"/>
    <w:rsid w:val="007D617F"/>
    <w:rsid w:val="009E1132"/>
    <w:rsid w:val="00AF239C"/>
    <w:rsid w:val="00BB3F2A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3D20DEE"/>
    <w:rsid w:val="1E145E07"/>
    <w:rsid w:val="33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2024-04-25T00:41:17Z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6096875C4B764F7DA8B8BCB4BE493515_13</vt:lpwstr>
  </property>
</Properties>
</file>